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F4" w:rsidRDefault="00C573E8">
      <w:pPr>
        <w:widowControl/>
        <w:spacing w:before="100" w:beforeAutospacing="1" w:after="100" w:afterAutospacing="1"/>
        <w:jc w:val="center"/>
        <w:rPr>
          <w:rFonts w:ascii="MS Shell Dlg" w:hAnsi="MS Shell Dlg" w:cs="MS Shell Dlg"/>
          <w:b/>
          <w:bCs/>
          <w:color w:val="4F4F4F"/>
          <w:kern w:val="0"/>
          <w:sz w:val="36"/>
          <w:szCs w:val="36"/>
        </w:rPr>
      </w:pPr>
      <w:r>
        <w:rPr>
          <w:rFonts w:ascii="MS Shell Dlg" w:hAnsi="MS Shell Dlg" w:cs="MS Shell Dlg" w:hint="eastAsia"/>
          <w:b/>
          <w:bCs/>
          <w:color w:val="4F4F4F"/>
          <w:kern w:val="0"/>
          <w:sz w:val="36"/>
          <w:szCs w:val="36"/>
        </w:rPr>
        <w:t>人力资源管理</w:t>
      </w:r>
      <w:r>
        <w:rPr>
          <w:rFonts w:ascii="MS Shell Dlg" w:hAnsi="MS Shell Dlg" w:cs="MS Shell Dlg"/>
          <w:b/>
          <w:bCs/>
          <w:color w:val="4F4F4F"/>
          <w:kern w:val="0"/>
          <w:sz w:val="36"/>
          <w:szCs w:val="36"/>
        </w:rPr>
        <w:t>专业</w:t>
      </w:r>
      <w:r>
        <w:rPr>
          <w:rFonts w:ascii="MS Shell Dlg" w:hAnsi="MS Shell Dlg" w:cs="MS Shell Dlg" w:hint="eastAsia"/>
          <w:b/>
          <w:bCs/>
          <w:color w:val="4F4F4F"/>
          <w:kern w:val="0"/>
          <w:sz w:val="36"/>
          <w:szCs w:val="36"/>
        </w:rPr>
        <w:t>本科</w:t>
      </w:r>
      <w:r w:rsidR="005C4B23">
        <w:rPr>
          <w:rFonts w:ascii="MS Shell Dlg" w:hAnsi="MS Shell Dlg" w:cs="MS Shell Dlg" w:hint="eastAsia"/>
          <w:b/>
          <w:bCs/>
          <w:color w:val="4F4F4F"/>
          <w:kern w:val="0"/>
          <w:sz w:val="36"/>
          <w:szCs w:val="36"/>
        </w:rPr>
        <w:t>人才</w:t>
      </w:r>
      <w:r>
        <w:rPr>
          <w:rFonts w:ascii="MS Shell Dlg" w:hAnsi="MS Shell Dlg" w:cs="MS Shell Dlg" w:hint="eastAsia"/>
          <w:b/>
          <w:bCs/>
          <w:color w:val="4F4F4F"/>
          <w:kern w:val="0"/>
          <w:sz w:val="36"/>
          <w:szCs w:val="36"/>
        </w:rPr>
        <w:t>培养方案</w:t>
      </w:r>
    </w:p>
    <w:p w:rsidR="004124F4" w:rsidRPr="001A60ED" w:rsidRDefault="00C573E8">
      <w:pPr>
        <w:widowControl/>
        <w:spacing w:before="100" w:beforeAutospacing="1" w:after="100" w:afterAutospacing="1"/>
        <w:jc w:val="center"/>
        <w:rPr>
          <w:rFonts w:ascii="宋体" w:hAnsi="宋体" w:cs="MS Shell Dlg"/>
          <w:kern w:val="0"/>
          <w:sz w:val="28"/>
          <w:szCs w:val="28"/>
        </w:rPr>
      </w:pPr>
      <w:r>
        <w:rPr>
          <w:rFonts w:ascii="MS Shell Dlg" w:hAnsi="MS Shell Dlg" w:cs="MS Shell Dlg" w:hint="eastAsia"/>
          <w:b/>
          <w:bCs/>
          <w:color w:val="4F4F4F"/>
          <w:kern w:val="0"/>
          <w:sz w:val="28"/>
          <w:szCs w:val="28"/>
        </w:rPr>
        <w:t xml:space="preserve">  </w:t>
      </w:r>
      <w:r w:rsidRPr="001A60ED">
        <w:rPr>
          <w:rFonts w:ascii="宋体" w:hAnsi="宋体" w:cs="MS Shell Dlg"/>
          <w:b/>
          <w:bCs/>
          <w:color w:val="4F4F4F"/>
          <w:kern w:val="0"/>
          <w:sz w:val="28"/>
          <w:szCs w:val="28"/>
        </w:rPr>
        <w:t>（管理学类 专业代码：</w:t>
      </w:r>
      <w:r w:rsidRPr="001A60ED">
        <w:rPr>
          <w:rFonts w:ascii="宋体" w:hAnsi="宋体" w:cs="MS Shell Dlg" w:hint="eastAsia"/>
          <w:b/>
          <w:bCs/>
          <w:color w:val="4F4F4F"/>
          <w:sz w:val="28"/>
          <w:szCs w:val="28"/>
        </w:rPr>
        <w:t>120206</w:t>
      </w:r>
      <w:r w:rsidRPr="001A60ED">
        <w:rPr>
          <w:rFonts w:ascii="宋体" w:hAnsi="宋体" w:cs="MS Shell Dlg"/>
          <w:b/>
          <w:bCs/>
          <w:color w:val="4F4F4F"/>
          <w:kern w:val="0"/>
          <w:sz w:val="28"/>
          <w:szCs w:val="28"/>
        </w:rPr>
        <w:t>）</w:t>
      </w:r>
    </w:p>
    <w:p w:rsidR="004124F4" w:rsidRPr="001A60ED" w:rsidRDefault="001A60ED" w:rsidP="001A60ED">
      <w:pPr>
        <w:spacing w:line="360" w:lineRule="auto"/>
        <w:ind w:firstLineChars="200" w:firstLine="562"/>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一、</w:t>
      </w:r>
      <w:r w:rsidR="00C573E8" w:rsidRPr="001A60ED">
        <w:rPr>
          <w:rFonts w:asciiTheme="minorEastAsia" w:eastAsiaTheme="minorEastAsia" w:hAnsiTheme="minorEastAsia" w:cstheme="minorEastAsia" w:hint="eastAsia"/>
          <w:b/>
          <w:bCs/>
          <w:kern w:val="0"/>
          <w:sz w:val="28"/>
          <w:szCs w:val="28"/>
        </w:rPr>
        <w:t>培养目标</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本专业以立德树人为根本，着力培养践行社会主义核心价值观，具有社会责任感、公共意识和创新精神，适应国家与地方经济建设需要，具有人文精神与科学素养，掌握现代经济管理理论及管理方法，具有国际视野、本土情怀、创新意识、团队精神和沟通技能，基础扎实、知识面宽、专业能力强、综合素质高，</w:t>
      </w:r>
      <w:r>
        <w:rPr>
          <w:rFonts w:asciiTheme="minorEastAsia" w:eastAsiaTheme="minorEastAsia" w:hAnsiTheme="minorEastAsia" w:cstheme="minorEastAsia" w:hint="eastAsia"/>
          <w:color w:val="000000"/>
          <w:sz w:val="28"/>
          <w:szCs w:val="28"/>
        </w:rPr>
        <w:t>具备人力资源管理的专业知识与专业技能，</w:t>
      </w:r>
      <w:r>
        <w:rPr>
          <w:rFonts w:asciiTheme="minorEastAsia" w:eastAsiaTheme="minorEastAsia" w:hAnsiTheme="minorEastAsia" w:cstheme="minorEastAsia" w:hint="eastAsia"/>
          <w:kern w:val="0"/>
          <w:sz w:val="28"/>
          <w:szCs w:val="28"/>
        </w:rPr>
        <w:t>能够在企事业单位、社会组织、政府机关及其他相关部门从事人力资源管理、行政管理等经济管理工作的应用型、复合型、创新型人才。</w:t>
      </w:r>
    </w:p>
    <w:p w:rsidR="004124F4" w:rsidRPr="001A60ED" w:rsidRDefault="001A60ED" w:rsidP="001A60ED">
      <w:pPr>
        <w:spacing w:line="360" w:lineRule="auto"/>
        <w:ind w:firstLineChars="200" w:firstLine="562"/>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二、</w:t>
      </w:r>
      <w:r w:rsidR="00C573E8" w:rsidRPr="001A60ED">
        <w:rPr>
          <w:rFonts w:asciiTheme="minorEastAsia" w:eastAsiaTheme="minorEastAsia" w:hAnsiTheme="minorEastAsia" w:cstheme="minorEastAsia" w:hint="eastAsia"/>
          <w:b/>
          <w:bCs/>
          <w:kern w:val="0"/>
          <w:sz w:val="28"/>
          <w:szCs w:val="28"/>
        </w:rPr>
        <w:t>培养规格</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w:t>
      </w:r>
      <w:r w:rsidR="001A60ED">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思想道德与职业素养</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努力学习掌握马列主义、毛泽东思想和邓小平理论，热爱社会主义祖国，拥护共产党的领导，自觉践行社会主义核心价值观，具有国家情怀和中华民族共同体意识；树立高远志向和终生学习的观念，坚持不懈，不断完善自我；具有良好的道德品质修养，遵守职业道德与规范；具有审美素养、人文素养、科学素养、社会公德和社会责任感，具备创新精神和批判精神，有为中国特色社会主义建设事业而艰苦奋斗的献身精神。</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sidR="001A60ED">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知识要求</w:t>
      </w:r>
    </w:p>
    <w:p w:rsidR="004124F4" w:rsidRDefault="00C573E8" w:rsidP="001A60ED">
      <w:pPr>
        <w:numPr>
          <w:ilvl w:val="0"/>
          <w:numId w:val="2"/>
        </w:numPr>
        <w:spacing w:line="360" w:lineRule="auto"/>
        <w:ind w:leftChars="200" w:left="42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lastRenderedPageBreak/>
        <w:t>基础性知识</w:t>
      </w:r>
    </w:p>
    <w:p w:rsidR="004124F4" w:rsidRDefault="00C573E8">
      <w:pPr>
        <w:spacing w:line="360" w:lineRule="auto"/>
        <w:ind w:firstLine="48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学生须熟练掌握数学、统计学、西方经济学、管理学、会计学、市场营销学、管理信息系统、经济法学等基础学科的理论和方法。</w:t>
      </w:r>
    </w:p>
    <w:p w:rsidR="004124F4" w:rsidRDefault="00C573E8">
      <w:pPr>
        <w:spacing w:line="360" w:lineRule="auto"/>
        <w:ind w:firstLine="48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（2）专业性知识</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学生须系统掌握人力资源管理、组织行为学、基础心理学、劳动经济学、组织设计与工作分析、人力资源战略规划、员工招聘、培训管理、绩效管理、薪酬管理、国际人力资源管理、人才测评等人力资源管理专业理论知识与方法，掌握人力资源管理的理论前沿及发展动态。</w:t>
      </w:r>
    </w:p>
    <w:p w:rsidR="004124F4" w:rsidRDefault="00C573E8" w:rsidP="001A60ED">
      <w:pPr>
        <w:spacing w:line="360" w:lineRule="auto"/>
        <w:ind w:leftChars="200" w:left="42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（3）通识性知识</w:t>
      </w:r>
    </w:p>
    <w:p w:rsidR="004124F4" w:rsidRDefault="00C573E8">
      <w:pPr>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学生须选修哲学、社会学、心理学、科学技术、语言文学、健康艺术、职业发展等方面的通识性知识。</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w:t>
      </w:r>
      <w:r w:rsidR="001A60ED">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kern w:val="0"/>
          <w:sz w:val="28"/>
          <w:szCs w:val="28"/>
        </w:rPr>
        <w:t>能力要求</w:t>
      </w:r>
    </w:p>
    <w:p w:rsidR="004124F4" w:rsidRDefault="00C573E8">
      <w:p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人力资源管理专业学生的能力结构包括知识获取能力、知识应用能力与创新创业能力三个方面。</w:t>
      </w:r>
    </w:p>
    <w:p w:rsidR="004124F4" w:rsidRDefault="00C573E8">
      <w:pPr>
        <w:numPr>
          <w:ilvl w:val="0"/>
          <w:numId w:val="3"/>
        </w:num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知识获取能力</w:t>
      </w:r>
    </w:p>
    <w:p w:rsidR="004124F4" w:rsidRDefault="00C573E8">
      <w:pPr>
        <w:spacing w:line="360" w:lineRule="auto"/>
        <w:ind w:firstLine="48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能够运用科学的方法，通过课堂、文献、网络、实习实践等渠道获取知识；善于学习和吸收他人知识，并构建自己的知识体系。</w:t>
      </w:r>
    </w:p>
    <w:p w:rsidR="004124F4" w:rsidRDefault="00C573E8">
      <w:pPr>
        <w:numPr>
          <w:ilvl w:val="0"/>
          <w:numId w:val="3"/>
        </w:numPr>
        <w:spacing w:line="360" w:lineRule="auto"/>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知识应用能力</w:t>
      </w:r>
    </w:p>
    <w:p w:rsidR="004124F4" w:rsidRDefault="00C573E8">
      <w:pPr>
        <w:ind w:firstLineChars="200" w:firstLine="56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具有较强的语言与文字表达能力，人际沟通以及解决人力资源管理问题的基本能力，能够运用所学理论知识与方法分析并解决企事业单位的人力资源管理问题。</w:t>
      </w:r>
    </w:p>
    <w:p w:rsidR="004124F4" w:rsidRDefault="00C573E8">
      <w:pPr>
        <w:spacing w:line="360" w:lineRule="auto"/>
        <w:ind w:firstLineChars="200" w:firstLine="562"/>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lastRenderedPageBreak/>
        <w:t>三、课程设置及学分要求</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人力资源管理专业课程体系实行“四位一体”的结构模式，主要包括通识教育课平台、学科基础课平台、专业教育课平台、实践教学平台等四个平台。</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sidR="001A60ED">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通识教育平台是满足学生德智体美劳全面发展的需求，拓展视野，提高素养，扩大知识面而开设的系列基础课程。主要包括思想政治理论课程、基本素养课程（大学英语、高等数学、大学英语、计算机等相关课程），以及为拓展学生知识面，提高综合素质开设的人文社科、自然科学、艺术、方法论、生理与心理健康等相关课程，共58学分。    </w:t>
      </w:r>
    </w:p>
    <w:p w:rsidR="004124F4" w:rsidRDefault="001A60ED">
      <w:pPr>
        <w:adjustRightInd w:val="0"/>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sidR="00C573E8">
        <w:rPr>
          <w:rFonts w:asciiTheme="minorEastAsia" w:eastAsiaTheme="minorEastAsia" w:hAnsiTheme="minorEastAsia" w:cstheme="minorEastAsia" w:hint="eastAsia"/>
          <w:sz w:val="28"/>
          <w:szCs w:val="28"/>
        </w:rPr>
        <w:t>学科基础课平台是人力资源管理专业课程学习前的基础理论知识储备系列课程。主要包括西方经济学4学分、管理学3学分、金融学3学分、市场营销学3学分、统计学3学分、财务管理3学分、人力资源管理3学分、组织行为学3学分、管理信息系统3学分和经济法3学分，共31学分。</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sidR="001A60ED">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专业教育课平台是本专业基础理论、操作技能与实验系列课程，主要包括：</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（1）专业核心课</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组织设计与工作分析2学分、劳动经济学2学分、普通心理学2学分、人力资源战略规划2学分、员工招聘2学分、培训管理2学分、绩效管理2学分、薪酬管理2学分，共16学分。</w:t>
      </w:r>
    </w:p>
    <w:p w:rsidR="004124F4" w:rsidRDefault="00C573E8" w:rsidP="001A60ED">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（2）专业实验课</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跨专业综合实训（VBSE）2学分、人才测评2学分、人力资源管</w:t>
      </w:r>
      <w:r>
        <w:rPr>
          <w:rFonts w:asciiTheme="minorEastAsia" w:eastAsiaTheme="minorEastAsia" w:hAnsiTheme="minorEastAsia" w:cstheme="minorEastAsia" w:hint="eastAsia"/>
          <w:sz w:val="28"/>
          <w:szCs w:val="28"/>
        </w:rPr>
        <w:lastRenderedPageBreak/>
        <w:t>理案例实训2学分、人力资源综合模拟实验2学分,共8学分。</w:t>
      </w:r>
    </w:p>
    <w:p w:rsidR="004124F4" w:rsidRDefault="00C573E8">
      <w:pPr>
        <w:numPr>
          <w:ilvl w:val="0"/>
          <w:numId w:val="3"/>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专业选修课（选修6门）</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国际人力资源管理（双语）2学分、人力资源管理量化分析2学分、员工关系管理2学分、员工职业生涯规划与管理2学分、公共关系学2学分、社会劳动保障2学分、人力资源管理创新专题讲座2学分、国际劳务合作与海外就业2学分、跨国企业员工招聘与培训2学分、跨国企业绩效与薪酬管理2学分、跨国企业员工关系管理2学分，选修6门，共12学分。</w:t>
      </w:r>
    </w:p>
    <w:p w:rsidR="004124F4" w:rsidRDefault="001A60ED" w:rsidP="001A60ED">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sidR="00C573E8">
        <w:rPr>
          <w:rFonts w:asciiTheme="minorEastAsia" w:eastAsiaTheme="minorEastAsia" w:hAnsiTheme="minorEastAsia" w:cstheme="minorEastAsia" w:hint="eastAsia"/>
          <w:sz w:val="28"/>
          <w:szCs w:val="28"/>
        </w:rPr>
        <w:t>实践教学平台包括创新创业、素质拓展和毕业环节三个部分。</w:t>
      </w:r>
    </w:p>
    <w:p w:rsidR="004124F4" w:rsidRDefault="00C573E8">
      <w:pPr>
        <w:spacing w:line="360" w:lineRule="auto"/>
        <w:ind w:firstLineChars="196" w:firstLine="47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课程设置及学时学分分布表</w:t>
      </w:r>
    </w:p>
    <w:tbl>
      <w:tblPr>
        <w:tblpPr w:leftFromText="180" w:rightFromText="180" w:vertAnchor="text" w:horzAnchor="margin" w:tblpY="2"/>
        <w:tblW w:w="8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tblPr>
      <w:tblGrid>
        <w:gridCol w:w="1768"/>
        <w:gridCol w:w="1748"/>
        <w:gridCol w:w="1217"/>
        <w:gridCol w:w="139"/>
        <w:gridCol w:w="980"/>
        <w:gridCol w:w="505"/>
        <w:gridCol w:w="2001"/>
      </w:tblGrid>
      <w:tr w:rsidR="004124F4">
        <w:trPr>
          <w:cantSplit/>
          <w:trHeight w:val="426"/>
        </w:trPr>
        <w:tc>
          <w:tcPr>
            <w:tcW w:w="3516" w:type="dxa"/>
            <w:gridSpan w:val="2"/>
            <w:vMerge w:val="restart"/>
            <w:vAlign w:val="center"/>
          </w:tcPr>
          <w:p w:rsidR="004124F4" w:rsidRDefault="00C573E8">
            <w:pPr>
              <w:spacing w:line="360" w:lineRule="auto"/>
              <w:ind w:firstLineChars="343" w:firstLine="7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课程类别</w:t>
            </w:r>
          </w:p>
        </w:tc>
        <w:tc>
          <w:tcPr>
            <w:tcW w:w="2336" w:type="dxa"/>
            <w:gridSpan w:val="3"/>
            <w:vAlign w:val="center"/>
          </w:tcPr>
          <w:p w:rsidR="004124F4" w:rsidRDefault="00C573E8">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学时</w:t>
            </w:r>
          </w:p>
        </w:tc>
        <w:tc>
          <w:tcPr>
            <w:tcW w:w="2506" w:type="dxa"/>
            <w:gridSpan w:val="2"/>
            <w:vMerge w:val="restart"/>
            <w:vAlign w:val="center"/>
          </w:tcPr>
          <w:p w:rsidR="004124F4" w:rsidRDefault="00C573E8">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学分</w:t>
            </w:r>
          </w:p>
        </w:tc>
      </w:tr>
      <w:tr w:rsidR="004124F4">
        <w:trPr>
          <w:cantSplit/>
          <w:trHeight w:val="342"/>
        </w:trPr>
        <w:tc>
          <w:tcPr>
            <w:tcW w:w="3516" w:type="dxa"/>
            <w:gridSpan w:val="2"/>
            <w:vMerge/>
            <w:vAlign w:val="center"/>
          </w:tcPr>
          <w:p w:rsidR="004124F4" w:rsidRDefault="004124F4">
            <w:pPr>
              <w:widowControl/>
              <w:spacing w:line="360" w:lineRule="auto"/>
              <w:jc w:val="left"/>
              <w:rPr>
                <w:rFonts w:asciiTheme="minorEastAsia" w:eastAsiaTheme="minorEastAsia" w:hAnsiTheme="minorEastAsia" w:cstheme="minorEastAsia"/>
                <w:bCs/>
                <w:szCs w:val="21"/>
              </w:rPr>
            </w:pPr>
          </w:p>
        </w:tc>
        <w:tc>
          <w:tcPr>
            <w:tcW w:w="1217" w:type="dxa"/>
            <w:vAlign w:val="center"/>
          </w:tcPr>
          <w:p w:rsidR="004124F4" w:rsidRDefault="00C573E8">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理论</w:t>
            </w:r>
          </w:p>
        </w:tc>
        <w:tc>
          <w:tcPr>
            <w:tcW w:w="1119" w:type="dxa"/>
            <w:gridSpan w:val="2"/>
            <w:vAlign w:val="center"/>
          </w:tcPr>
          <w:p w:rsidR="004124F4" w:rsidRDefault="00C573E8">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实验</w:t>
            </w:r>
          </w:p>
        </w:tc>
        <w:tc>
          <w:tcPr>
            <w:tcW w:w="2506" w:type="dxa"/>
            <w:gridSpan w:val="2"/>
            <w:vMerge/>
            <w:vAlign w:val="center"/>
          </w:tcPr>
          <w:p w:rsidR="004124F4" w:rsidRDefault="004124F4">
            <w:pPr>
              <w:spacing w:line="360" w:lineRule="auto"/>
              <w:jc w:val="center"/>
              <w:rPr>
                <w:rFonts w:asciiTheme="minorEastAsia" w:eastAsiaTheme="minorEastAsia" w:hAnsiTheme="minorEastAsia" w:cstheme="minorEastAsia"/>
                <w:bCs/>
                <w:szCs w:val="21"/>
              </w:rPr>
            </w:pPr>
          </w:p>
        </w:tc>
      </w:tr>
      <w:tr w:rsidR="004124F4">
        <w:trPr>
          <w:cantSplit/>
          <w:trHeight w:val="515"/>
        </w:trPr>
        <w:tc>
          <w:tcPr>
            <w:tcW w:w="1768" w:type="dxa"/>
            <w:vMerge w:val="restart"/>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通识课程平台    </w:t>
            </w:r>
          </w:p>
        </w:tc>
        <w:tc>
          <w:tcPr>
            <w:tcW w:w="174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  修</w:t>
            </w:r>
          </w:p>
        </w:tc>
        <w:tc>
          <w:tcPr>
            <w:tcW w:w="1217"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663</w:t>
            </w:r>
          </w:p>
        </w:tc>
        <w:tc>
          <w:tcPr>
            <w:tcW w:w="1119"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289</w:t>
            </w:r>
          </w:p>
        </w:tc>
        <w:tc>
          <w:tcPr>
            <w:tcW w:w="2506"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r>
      <w:tr w:rsidR="004124F4">
        <w:trPr>
          <w:cantSplit/>
          <w:trHeight w:val="406"/>
        </w:trPr>
        <w:tc>
          <w:tcPr>
            <w:tcW w:w="1768" w:type="dxa"/>
            <w:vMerge/>
            <w:vAlign w:val="center"/>
          </w:tcPr>
          <w:p w:rsidR="004124F4" w:rsidRDefault="004124F4">
            <w:pPr>
              <w:widowControl/>
              <w:spacing w:line="360" w:lineRule="auto"/>
              <w:jc w:val="left"/>
              <w:rPr>
                <w:rFonts w:asciiTheme="minorEastAsia" w:eastAsiaTheme="minorEastAsia" w:hAnsiTheme="minorEastAsia" w:cstheme="minorEastAsia"/>
                <w:szCs w:val="21"/>
              </w:rPr>
            </w:pPr>
          </w:p>
        </w:tc>
        <w:tc>
          <w:tcPr>
            <w:tcW w:w="174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  修</w:t>
            </w:r>
          </w:p>
        </w:tc>
        <w:tc>
          <w:tcPr>
            <w:tcW w:w="1217"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w:t>
            </w:r>
          </w:p>
        </w:tc>
        <w:tc>
          <w:tcPr>
            <w:tcW w:w="1119" w:type="dxa"/>
            <w:gridSpan w:val="2"/>
            <w:vAlign w:val="center"/>
          </w:tcPr>
          <w:p w:rsidR="004124F4" w:rsidRDefault="004124F4">
            <w:pPr>
              <w:spacing w:line="360" w:lineRule="auto"/>
              <w:jc w:val="center"/>
              <w:rPr>
                <w:rFonts w:asciiTheme="minorEastAsia" w:eastAsiaTheme="minorEastAsia" w:hAnsiTheme="minorEastAsia" w:cstheme="minorEastAsia"/>
                <w:szCs w:val="21"/>
              </w:rPr>
            </w:pPr>
          </w:p>
        </w:tc>
        <w:tc>
          <w:tcPr>
            <w:tcW w:w="2506"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r>
      <w:tr w:rsidR="004124F4">
        <w:trPr>
          <w:cantSplit/>
          <w:trHeight w:val="468"/>
        </w:trPr>
        <w:tc>
          <w:tcPr>
            <w:tcW w:w="176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学科基础课平台 </w:t>
            </w:r>
          </w:p>
        </w:tc>
        <w:tc>
          <w:tcPr>
            <w:tcW w:w="174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  修</w:t>
            </w:r>
          </w:p>
        </w:tc>
        <w:tc>
          <w:tcPr>
            <w:tcW w:w="1217"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527</w:t>
            </w:r>
          </w:p>
        </w:tc>
        <w:tc>
          <w:tcPr>
            <w:tcW w:w="1119" w:type="dxa"/>
            <w:gridSpan w:val="2"/>
            <w:vAlign w:val="center"/>
          </w:tcPr>
          <w:p w:rsidR="004124F4" w:rsidRDefault="004124F4">
            <w:pPr>
              <w:spacing w:line="360" w:lineRule="auto"/>
              <w:jc w:val="center"/>
              <w:rPr>
                <w:rFonts w:asciiTheme="minorEastAsia" w:eastAsiaTheme="minorEastAsia" w:hAnsiTheme="minorEastAsia" w:cstheme="minorEastAsia"/>
                <w:szCs w:val="21"/>
              </w:rPr>
            </w:pPr>
          </w:p>
        </w:tc>
        <w:tc>
          <w:tcPr>
            <w:tcW w:w="2506"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r>
      <w:tr w:rsidR="004124F4">
        <w:trPr>
          <w:cantSplit/>
          <w:trHeight w:val="453"/>
        </w:trPr>
        <w:tc>
          <w:tcPr>
            <w:tcW w:w="1768" w:type="dxa"/>
            <w:vMerge w:val="restart"/>
            <w:vAlign w:val="center"/>
          </w:tcPr>
          <w:p w:rsidR="004124F4" w:rsidRDefault="00C573E8">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专业教育课平台</w:t>
            </w:r>
          </w:p>
        </w:tc>
        <w:tc>
          <w:tcPr>
            <w:tcW w:w="174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  修</w:t>
            </w:r>
          </w:p>
        </w:tc>
        <w:tc>
          <w:tcPr>
            <w:tcW w:w="1217"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272</w:t>
            </w:r>
          </w:p>
        </w:tc>
        <w:tc>
          <w:tcPr>
            <w:tcW w:w="1119"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136</w:t>
            </w:r>
          </w:p>
        </w:tc>
        <w:tc>
          <w:tcPr>
            <w:tcW w:w="2506"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r>
      <w:tr w:rsidR="004124F4">
        <w:trPr>
          <w:cantSplit/>
          <w:trHeight w:val="473"/>
        </w:trPr>
        <w:tc>
          <w:tcPr>
            <w:tcW w:w="1768" w:type="dxa"/>
            <w:vMerge/>
            <w:vAlign w:val="center"/>
          </w:tcPr>
          <w:p w:rsidR="004124F4" w:rsidRDefault="004124F4">
            <w:pPr>
              <w:widowControl/>
              <w:spacing w:line="360" w:lineRule="auto"/>
              <w:jc w:val="left"/>
              <w:rPr>
                <w:rFonts w:asciiTheme="minorEastAsia" w:eastAsiaTheme="minorEastAsia" w:hAnsiTheme="minorEastAsia" w:cstheme="minorEastAsia"/>
                <w:szCs w:val="21"/>
              </w:rPr>
            </w:pPr>
          </w:p>
        </w:tc>
        <w:tc>
          <w:tcPr>
            <w:tcW w:w="174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  修</w:t>
            </w:r>
          </w:p>
        </w:tc>
        <w:tc>
          <w:tcPr>
            <w:tcW w:w="1217"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204</w:t>
            </w:r>
          </w:p>
        </w:tc>
        <w:tc>
          <w:tcPr>
            <w:tcW w:w="1119" w:type="dxa"/>
            <w:gridSpan w:val="2"/>
            <w:vAlign w:val="center"/>
          </w:tcPr>
          <w:p w:rsidR="004124F4" w:rsidRDefault="004124F4">
            <w:pPr>
              <w:spacing w:line="360" w:lineRule="auto"/>
              <w:jc w:val="center"/>
              <w:rPr>
                <w:rFonts w:asciiTheme="minorEastAsia" w:eastAsiaTheme="minorEastAsia" w:hAnsiTheme="minorEastAsia" w:cstheme="minorEastAsia"/>
                <w:szCs w:val="21"/>
              </w:rPr>
            </w:pPr>
          </w:p>
        </w:tc>
        <w:tc>
          <w:tcPr>
            <w:tcW w:w="2506"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r>
      <w:tr w:rsidR="004124F4">
        <w:trPr>
          <w:cantSplit/>
          <w:trHeight w:val="390"/>
        </w:trPr>
        <w:tc>
          <w:tcPr>
            <w:tcW w:w="176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实践教学平台</w:t>
            </w:r>
          </w:p>
        </w:tc>
        <w:tc>
          <w:tcPr>
            <w:tcW w:w="1748"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4842" w:type="dxa"/>
            <w:gridSpan w:val="5"/>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20学分</w:t>
            </w:r>
          </w:p>
        </w:tc>
      </w:tr>
      <w:tr w:rsidR="004124F4">
        <w:trPr>
          <w:cantSplit/>
          <w:trHeight w:val="535"/>
        </w:trPr>
        <w:tc>
          <w:tcPr>
            <w:tcW w:w="3516" w:type="dxa"/>
            <w:gridSpan w:val="2"/>
            <w:vAlign w:val="center"/>
          </w:tcPr>
          <w:p w:rsidR="004124F4" w:rsidRDefault="00C573E8">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最低毕业学时</w:t>
            </w:r>
          </w:p>
        </w:tc>
        <w:tc>
          <w:tcPr>
            <w:tcW w:w="1356"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2125</w:t>
            </w:r>
          </w:p>
        </w:tc>
        <w:tc>
          <w:tcPr>
            <w:tcW w:w="1485" w:type="dxa"/>
            <w:gridSpan w:val="2"/>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最低毕业学分</w:t>
            </w:r>
          </w:p>
        </w:tc>
        <w:tc>
          <w:tcPr>
            <w:tcW w:w="2001" w:type="dxa"/>
            <w:vAlign w:val="center"/>
          </w:tcPr>
          <w:p w:rsidR="004124F4" w:rsidRDefault="00C573E8">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145</w:t>
            </w:r>
          </w:p>
        </w:tc>
      </w:tr>
    </w:tbl>
    <w:p w:rsidR="004124F4" w:rsidRDefault="004124F4">
      <w:pPr>
        <w:spacing w:line="360" w:lineRule="auto"/>
        <w:ind w:firstLineChars="196" w:firstLine="470"/>
        <w:rPr>
          <w:rFonts w:asciiTheme="minorEastAsia" w:eastAsiaTheme="minorEastAsia" w:hAnsiTheme="minorEastAsia" w:cstheme="minorEastAsia"/>
          <w:sz w:val="24"/>
        </w:rPr>
      </w:pPr>
    </w:p>
    <w:p w:rsidR="004124F4" w:rsidRDefault="00C573E8">
      <w:pPr>
        <w:spacing w:line="360" w:lineRule="auto"/>
        <w:ind w:firstLineChars="200" w:firstLine="56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8"/>
          <w:szCs w:val="28"/>
        </w:rPr>
        <w:t>四、实践教学环节及要求</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实践教学环节包括创新创业、素质拓展和毕业环节。</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sidR="001A60ED">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创新创业</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创新创业包括创新创业基础1学分，创新创业实践2学分，职业生涯与发展规划1学分，大学生就业指导1学分，创新创业与学科专业竞赛1学分，共6学分。</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sidR="001A60ED">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素质拓展</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素质拓展包括劳动课1学分，大学生心理健康教育1学分，社会实践或调查2学分，学年论文（课程设计）1学分，大学生文明修身1学分，国防教育与军事理论2学分，共8学分。</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sidR="001A60ED">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毕业环节</w:t>
      </w:r>
    </w:p>
    <w:p w:rsidR="004124F4" w:rsidRDefault="00C573E8">
      <w:pPr>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毕业环节包括毕业（专业）实习与毕业论文（设计），其中毕业（专业）实习2学分，毕业论文（设计）4学分，共6学分。</w:t>
      </w:r>
    </w:p>
    <w:p w:rsidR="004124F4" w:rsidRDefault="00C573E8" w:rsidP="001A60E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五、修业年限</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lang w:val="zh-CN"/>
        </w:rPr>
        <w:t>本专业本科基本学制为4学年，学校实行弹性学制，修业年限（含休学时间）一般为3—6年。本次培养方案按4学年编制。</w:t>
      </w:r>
    </w:p>
    <w:p w:rsidR="004124F4" w:rsidRDefault="00C573E8" w:rsidP="001A60E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六、授予学位</w:t>
      </w:r>
    </w:p>
    <w:p w:rsidR="004124F4" w:rsidRDefault="00C573E8">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管理学学士。</w:t>
      </w:r>
    </w:p>
    <w:p w:rsidR="004124F4" w:rsidRDefault="00C573E8" w:rsidP="001A60E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七、成绩考核</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课程的总评成绩由平时成绩、期中成绩和期末成绩加权平均后获得，原则上平时成绩占10%，期中成绩占20%，期末成绩占70%。但可根据课程的特殊性和培养目标的要求，适当调整各部分所占比例。其他教学环节的考核由相关负责人或指导教师根据该教学环节特征综合评定打分。</w:t>
      </w:r>
    </w:p>
    <w:p w:rsidR="004124F4" w:rsidRDefault="00C573E8" w:rsidP="001A60E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八、第二课堂教学安排及要求</w:t>
      </w:r>
    </w:p>
    <w:p w:rsidR="004124F4" w:rsidRDefault="00C573E8" w:rsidP="001A60ED">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引导学生充分利用课内外和校内外学习资源和条件，积极鼓励学生参加社团活动、公益劳动、文体竞赛、勤工助学等活动，以提高学生职业素养和人际交往能力；鼓励学生利用信息资源和信息技术展开自主学习，组织实施系列专业讲座，拓展学生知识面，把握人力资源管理发展前沿动态；指导学生参加全国大学生人力资源管理技能大赛、挑战杯、ERP沙盘模拟大赛、创新创业竞赛等活动，提高学生竞争意识和理论结合实践的能力；鼓励学生考取相关资格证书，以扩大学生就业前景。</w:t>
      </w:r>
    </w:p>
    <w:p w:rsidR="004124F4" w:rsidRDefault="00C573E8" w:rsidP="001A60E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九、教学计划进度表（见附表）</w:t>
      </w:r>
    </w:p>
    <w:p w:rsidR="004124F4" w:rsidRDefault="00C573E8" w:rsidP="001A60ED">
      <w:pPr>
        <w:spacing w:line="360" w:lineRule="auto"/>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十、双学位、</w:t>
      </w:r>
      <w:bookmarkStart w:id="0" w:name="_GoBack"/>
      <w:bookmarkEnd w:id="0"/>
      <w:r>
        <w:rPr>
          <w:rFonts w:asciiTheme="minorEastAsia" w:eastAsiaTheme="minorEastAsia" w:hAnsiTheme="minorEastAsia" w:cstheme="minorEastAsia" w:hint="eastAsia"/>
          <w:b/>
          <w:sz w:val="28"/>
          <w:szCs w:val="28"/>
        </w:rPr>
        <w:t>双专业教学计划进度表（见附表）</w:t>
      </w:r>
    </w:p>
    <w:p w:rsidR="004124F4" w:rsidRDefault="004124F4">
      <w:pPr>
        <w:spacing w:line="360" w:lineRule="auto"/>
        <w:rPr>
          <w:rFonts w:asciiTheme="minorEastAsia" w:eastAsiaTheme="minorEastAsia" w:hAnsiTheme="minorEastAsia" w:cstheme="minorEastAsia"/>
          <w:sz w:val="28"/>
          <w:szCs w:val="28"/>
        </w:rPr>
      </w:pPr>
    </w:p>
    <w:sectPr w:rsidR="004124F4" w:rsidSect="004124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28" w:rsidRDefault="00E70228" w:rsidP="004124F4">
      <w:r>
        <w:separator/>
      </w:r>
    </w:p>
  </w:endnote>
  <w:endnote w:type="continuationSeparator" w:id="0">
    <w:p w:rsidR="00E70228" w:rsidRDefault="00E70228" w:rsidP="00412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F4" w:rsidRDefault="004124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F4" w:rsidRDefault="004124F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F4" w:rsidRDefault="004124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28" w:rsidRDefault="00E70228" w:rsidP="004124F4">
      <w:r>
        <w:separator/>
      </w:r>
    </w:p>
  </w:footnote>
  <w:footnote w:type="continuationSeparator" w:id="0">
    <w:p w:rsidR="00E70228" w:rsidRDefault="00E70228" w:rsidP="00412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F4" w:rsidRDefault="004124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F4" w:rsidRDefault="004124F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F4" w:rsidRDefault="004124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5A86FE"/>
    <w:multiLevelType w:val="singleLevel"/>
    <w:tmpl w:val="C15A86FE"/>
    <w:lvl w:ilvl="0">
      <w:start w:val="4"/>
      <w:numFmt w:val="decimal"/>
      <w:suff w:val="nothing"/>
      <w:lvlText w:val="%1、"/>
      <w:lvlJc w:val="left"/>
    </w:lvl>
  </w:abstractNum>
  <w:abstractNum w:abstractNumId="1">
    <w:nsid w:val="F1A2A445"/>
    <w:multiLevelType w:val="singleLevel"/>
    <w:tmpl w:val="F1A2A445"/>
    <w:lvl w:ilvl="0">
      <w:start w:val="1"/>
      <w:numFmt w:val="decimal"/>
      <w:suff w:val="nothing"/>
      <w:lvlText w:val="（%1）"/>
      <w:lvlJc w:val="left"/>
    </w:lvl>
  </w:abstractNum>
  <w:abstractNum w:abstractNumId="2">
    <w:nsid w:val="FAA03E48"/>
    <w:multiLevelType w:val="singleLevel"/>
    <w:tmpl w:val="FAA03E48"/>
    <w:lvl w:ilvl="0">
      <w:start w:val="1"/>
      <w:numFmt w:val="decimal"/>
      <w:suff w:val="nothing"/>
      <w:lvlText w:val="（%1）"/>
      <w:lvlJc w:val="left"/>
    </w:lvl>
  </w:abstractNum>
  <w:abstractNum w:abstractNumId="3">
    <w:nsid w:val="2A75152A"/>
    <w:multiLevelType w:val="multilevel"/>
    <w:tmpl w:val="2A75152A"/>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629"/>
    <w:rsid w:val="000375BF"/>
    <w:rsid w:val="00037F8C"/>
    <w:rsid w:val="000A34B5"/>
    <w:rsid w:val="001A60ED"/>
    <w:rsid w:val="00212722"/>
    <w:rsid w:val="00272A0F"/>
    <w:rsid w:val="00304A8B"/>
    <w:rsid w:val="00346013"/>
    <w:rsid w:val="0036047A"/>
    <w:rsid w:val="0038438D"/>
    <w:rsid w:val="003B1178"/>
    <w:rsid w:val="004124F4"/>
    <w:rsid w:val="0046628E"/>
    <w:rsid w:val="004C4121"/>
    <w:rsid w:val="004C56AF"/>
    <w:rsid w:val="005C4B23"/>
    <w:rsid w:val="005F46B6"/>
    <w:rsid w:val="00630B71"/>
    <w:rsid w:val="00650CD7"/>
    <w:rsid w:val="00656879"/>
    <w:rsid w:val="00666D92"/>
    <w:rsid w:val="006A4291"/>
    <w:rsid w:val="006A4DF4"/>
    <w:rsid w:val="006B79D9"/>
    <w:rsid w:val="006F2629"/>
    <w:rsid w:val="00733EA1"/>
    <w:rsid w:val="00741A8A"/>
    <w:rsid w:val="00847C76"/>
    <w:rsid w:val="00943983"/>
    <w:rsid w:val="00972B9A"/>
    <w:rsid w:val="009C5518"/>
    <w:rsid w:val="00A4482D"/>
    <w:rsid w:val="00AB1BED"/>
    <w:rsid w:val="00AD0005"/>
    <w:rsid w:val="00AD658F"/>
    <w:rsid w:val="00B2783A"/>
    <w:rsid w:val="00B66270"/>
    <w:rsid w:val="00C02CC1"/>
    <w:rsid w:val="00C248E9"/>
    <w:rsid w:val="00C573E8"/>
    <w:rsid w:val="00CD7B16"/>
    <w:rsid w:val="00D13115"/>
    <w:rsid w:val="00D163DA"/>
    <w:rsid w:val="00D1665C"/>
    <w:rsid w:val="00D363AE"/>
    <w:rsid w:val="00DD16EA"/>
    <w:rsid w:val="00E13F86"/>
    <w:rsid w:val="00E37DEE"/>
    <w:rsid w:val="00E42841"/>
    <w:rsid w:val="00E70228"/>
    <w:rsid w:val="00F0454E"/>
    <w:rsid w:val="00FD65B3"/>
    <w:rsid w:val="0B616BB3"/>
    <w:rsid w:val="16A80D6F"/>
    <w:rsid w:val="1A095E50"/>
    <w:rsid w:val="22211554"/>
    <w:rsid w:val="259D4FCE"/>
    <w:rsid w:val="439F08DD"/>
    <w:rsid w:val="4C1E76A2"/>
    <w:rsid w:val="556E5A7D"/>
    <w:rsid w:val="5A8C31FC"/>
    <w:rsid w:val="5E786715"/>
    <w:rsid w:val="62425B01"/>
    <w:rsid w:val="65865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124F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4124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4124F4"/>
    <w:rPr>
      <w:sz w:val="18"/>
      <w:szCs w:val="18"/>
    </w:rPr>
  </w:style>
  <w:style w:type="character" w:customStyle="1" w:styleId="Char">
    <w:name w:val="页脚 Char"/>
    <w:basedOn w:val="a0"/>
    <w:link w:val="a3"/>
    <w:uiPriority w:val="99"/>
    <w:semiHidden/>
    <w:qFormat/>
    <w:rsid w:val="004124F4"/>
    <w:rPr>
      <w:sz w:val="18"/>
      <w:szCs w:val="18"/>
    </w:rPr>
  </w:style>
  <w:style w:type="paragraph" w:styleId="a5">
    <w:name w:val="List Paragraph"/>
    <w:basedOn w:val="a"/>
    <w:uiPriority w:val="34"/>
    <w:qFormat/>
    <w:rsid w:val="004124F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389</Words>
  <Characters>2221</Characters>
  <Application>Microsoft Office Word</Application>
  <DocSecurity>0</DocSecurity>
  <Lines>18</Lines>
  <Paragraphs>5</Paragraphs>
  <ScaleCrop>false</ScaleCrop>
  <Company>l</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22</cp:revision>
  <dcterms:created xsi:type="dcterms:W3CDTF">2016-09-07T15:08:00Z</dcterms:created>
  <dcterms:modified xsi:type="dcterms:W3CDTF">2019-05-16T09:04:00Z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